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5295" w14:textId="77777777" w:rsidR="00B44483" w:rsidRPr="00B44483" w:rsidRDefault="00B44483" w:rsidP="00B44483">
      <w:pPr>
        <w:rPr>
          <w:rFonts w:ascii="Aptos" w:eastAsia="Aptos" w:hAnsi="Aptos" w:cs="Arial"/>
          <w:lang w:val="fr-CA"/>
        </w:rPr>
      </w:pPr>
    </w:p>
    <w:p w14:paraId="1AFE077B" w14:textId="4EA550EB" w:rsidR="00B44483" w:rsidRPr="00956ECB" w:rsidRDefault="00B44483" w:rsidP="00B44483">
      <w:pPr>
        <w:spacing w:after="80" w:line="240" w:lineRule="auto"/>
        <w:contextualSpacing/>
        <w:rPr>
          <w:rFonts w:ascii="Montserrat" w:eastAsia="Yu Gothic Light" w:hAnsi="Montserrat" w:cs="Times New Roman (Headings CS)"/>
          <w:b/>
          <w:bCs/>
          <w:kern w:val="28"/>
          <w:sz w:val="72"/>
          <w:szCs w:val="72"/>
          <w:lang w:val="fr-CA"/>
        </w:rPr>
      </w:pPr>
      <w:r w:rsidRPr="00B44483">
        <w:rPr>
          <w:rFonts w:ascii="Montserrat" w:eastAsia="Yu Gothic Light" w:hAnsi="Montserrat" w:cs="Times New Roman (Headings CS)"/>
          <w:kern w:val="28"/>
          <w:sz w:val="72"/>
          <w:szCs w:val="72"/>
          <w:lang w:val="fr-CA"/>
        </w:rPr>
        <w:t>Réguler le domaine numérique (</w:t>
      </w:r>
      <w:proofErr w:type="spellStart"/>
      <w:r w:rsidRPr="00B44483">
        <w:rPr>
          <w:rFonts w:ascii="Montserrat" w:eastAsia="Yu Gothic Light" w:hAnsi="Montserrat" w:cs="Times New Roman (Headings CS)"/>
          <w:kern w:val="28"/>
          <w:sz w:val="72"/>
          <w:szCs w:val="72"/>
          <w:lang w:val="fr-CA"/>
        </w:rPr>
        <w:t>RlDN</w:t>
      </w:r>
      <w:proofErr w:type="spellEnd"/>
      <w:r w:rsidRPr="00B44483">
        <w:rPr>
          <w:rFonts w:ascii="Montserrat" w:eastAsia="Yu Gothic Light" w:hAnsi="Montserrat" w:cs="Times New Roman (Headings CS)"/>
          <w:kern w:val="28"/>
          <w:sz w:val="72"/>
          <w:szCs w:val="72"/>
          <w:lang w:val="fr-CA"/>
        </w:rPr>
        <w:t>):</w:t>
      </w:r>
      <w:r w:rsidRPr="00B44483">
        <w:rPr>
          <w:rFonts w:ascii="MS Gothic" w:eastAsia="MS Gothic" w:hAnsi="MS Gothic" w:cs="MS Gothic"/>
          <w:kern w:val="28"/>
          <w:sz w:val="72"/>
          <w:szCs w:val="72"/>
          <w:lang w:val="fr-CA"/>
        </w:rPr>
        <w:t> </w:t>
      </w:r>
      <w:r w:rsidRPr="00B44483">
        <w:rPr>
          <w:rFonts w:ascii="MS Gothic" w:eastAsia="MS Gothic" w:hAnsi="MS Gothic" w:cs="MS Gothic"/>
          <w:kern w:val="28"/>
          <w:sz w:val="72"/>
          <w:szCs w:val="72"/>
          <w:lang w:val="fr-CA"/>
        </w:rPr>
        <w:br/>
      </w:r>
      <w:r w:rsidRPr="00B44483">
        <w:rPr>
          <w:rFonts w:ascii="Montserrat" w:eastAsia="Yu Gothic Light" w:hAnsi="Montserrat" w:cs="Times New Roman (Headings CS)"/>
          <w:b/>
          <w:bCs/>
          <w:kern w:val="28"/>
          <w:sz w:val="72"/>
          <w:szCs w:val="72"/>
          <w:lang w:val="fr-CA"/>
        </w:rPr>
        <w:t>Rapport final de recherche</w:t>
      </w:r>
      <w:r w:rsidRPr="00B44483">
        <w:rPr>
          <w:rFonts w:ascii="Montserrat" w:eastAsia="Yu Gothic Light" w:hAnsi="Montserrat" w:cs="Times New Roman (Headings CS)"/>
          <w:b/>
          <w:bCs/>
          <w:kern w:val="28"/>
          <w:sz w:val="72"/>
          <w:szCs w:val="72"/>
          <w:lang w:val="fr-CA"/>
        </w:rPr>
        <w:br/>
      </w:r>
      <w:r w:rsidR="00956ECB" w:rsidRPr="00956ECB">
        <w:rPr>
          <w:rFonts w:ascii="Montserrat" w:eastAsia="Yu Gothic Light" w:hAnsi="Montserrat" w:cs="Times New Roman (Headings CS)"/>
          <w:b/>
          <w:bCs/>
          <w:kern w:val="28"/>
          <w:sz w:val="72"/>
          <w:szCs w:val="72"/>
          <w:lang w:val="fr-CA"/>
        </w:rPr>
        <w:t>Résumé exécutif</w:t>
      </w:r>
    </w:p>
    <w:p w14:paraId="1E71BBFF" w14:textId="77777777" w:rsidR="00B44483" w:rsidRPr="00B44483" w:rsidRDefault="00B44483" w:rsidP="00B44483">
      <w:pPr>
        <w:autoSpaceDE w:val="0"/>
        <w:autoSpaceDN w:val="0"/>
        <w:adjustRightInd w:val="0"/>
        <w:spacing w:after="0" w:line="240" w:lineRule="auto"/>
        <w:rPr>
          <w:rFonts w:ascii="AppleSystemUIFont" w:eastAsia="Aptos" w:hAnsi="AppleSystemUIFont" w:cs="AppleSystemUIFont"/>
          <w:kern w:val="0"/>
          <w:sz w:val="26"/>
          <w:szCs w:val="26"/>
          <w:lang w:val="fr-CA"/>
        </w:rPr>
      </w:pPr>
    </w:p>
    <w:p w14:paraId="0C45F5F7" w14:textId="77777777" w:rsidR="00B44483" w:rsidRPr="00B44483" w:rsidRDefault="00B44483" w:rsidP="00B44483">
      <w:pPr>
        <w:pBdr>
          <w:left w:val="single" w:sz="24" w:space="10" w:color="FFC000"/>
        </w:pBdr>
        <w:spacing w:before="240"/>
        <w:rPr>
          <w:rFonts w:ascii="Montserrat SemiBold" w:eastAsia="Yu Gothic Light" w:hAnsi="Montserrat SemiBold" w:cs="Times New Roman (Headings CS)"/>
          <w:b/>
          <w:bCs/>
          <w:color w:val="BF4E14"/>
          <w:sz w:val="48"/>
          <w:szCs w:val="48"/>
          <w:lang w:val="fr-CA"/>
        </w:rPr>
      </w:pPr>
      <w:r w:rsidRPr="00B44483">
        <w:rPr>
          <w:rFonts w:ascii="Montserrat SemiBold" w:eastAsia="Yu Gothic Light" w:hAnsi="Montserrat SemiBold" w:cs="Times New Roman (Headings CS)"/>
          <w:color w:val="BF4E14"/>
          <w:sz w:val="48"/>
          <w:szCs w:val="48"/>
          <w:lang w:val="fr-CA"/>
        </w:rPr>
        <w:t xml:space="preserve">Nouvelles approches pour améliorer </w:t>
      </w:r>
      <w:r w:rsidRPr="00B44483">
        <w:rPr>
          <w:rFonts w:ascii="Montserrat SemiBold" w:eastAsia="Yu Gothic Light" w:hAnsi="Montserrat SemiBold" w:cs="Times New Roman (Headings CS)"/>
          <w:b/>
          <w:bCs/>
          <w:color w:val="BF4E14"/>
          <w:sz w:val="48"/>
          <w:szCs w:val="48"/>
          <w:lang w:val="fr-CA"/>
        </w:rPr>
        <w:t>l’accessibilité</w:t>
      </w:r>
      <w:r w:rsidRPr="00B44483">
        <w:rPr>
          <w:rFonts w:ascii="Montserrat SemiBold" w:eastAsia="Yu Gothic Light" w:hAnsi="Montserrat SemiBold" w:cs="Times New Roman (Headings CS)"/>
          <w:color w:val="BF4E14"/>
          <w:sz w:val="48"/>
          <w:szCs w:val="48"/>
          <w:lang w:val="fr-CA"/>
        </w:rPr>
        <w:t xml:space="preserve"> des technologies numériques</w:t>
      </w:r>
    </w:p>
    <w:p w14:paraId="72F9AD6A" w14:textId="77777777" w:rsidR="00B44483" w:rsidRPr="00B44483" w:rsidRDefault="00B44483" w:rsidP="00B44483">
      <w:pPr>
        <w:autoSpaceDE w:val="0"/>
        <w:autoSpaceDN w:val="0"/>
        <w:adjustRightInd w:val="0"/>
        <w:spacing w:after="0" w:line="240" w:lineRule="auto"/>
        <w:rPr>
          <w:rFonts w:ascii="AppleSystemUIFont" w:eastAsia="Aptos" w:hAnsi="AppleSystemUIFont" w:cs="AppleSystemUIFont"/>
          <w:kern w:val="0"/>
          <w:sz w:val="26"/>
          <w:szCs w:val="26"/>
          <w:lang w:val="fr-CA"/>
        </w:rPr>
      </w:pPr>
    </w:p>
    <w:p w14:paraId="6F7EAD8C" w14:textId="77777777" w:rsidR="00B44483" w:rsidRPr="00B44483" w:rsidRDefault="00B44483" w:rsidP="00B44483">
      <w:pPr>
        <w:autoSpaceDE w:val="0"/>
        <w:autoSpaceDN w:val="0"/>
        <w:adjustRightInd w:val="0"/>
        <w:spacing w:after="0" w:line="240" w:lineRule="auto"/>
        <w:rPr>
          <w:rFonts w:ascii="AppleSystemUIFont" w:eastAsia="Aptos" w:hAnsi="AppleSystemUIFont" w:cs="AppleSystemUIFont"/>
          <w:kern w:val="0"/>
          <w:sz w:val="26"/>
          <w:szCs w:val="26"/>
          <w:lang w:val="fr-CA"/>
        </w:rPr>
      </w:pPr>
    </w:p>
    <w:p w14:paraId="69D4BF61" w14:textId="77777777" w:rsidR="00B44483" w:rsidRPr="00B44483" w:rsidRDefault="00B44483" w:rsidP="00B44483">
      <w:pPr>
        <w:autoSpaceDE w:val="0"/>
        <w:autoSpaceDN w:val="0"/>
        <w:adjustRightInd w:val="0"/>
        <w:spacing w:after="0" w:line="240" w:lineRule="auto"/>
        <w:rPr>
          <w:rFonts w:ascii="AppleSystemUIFont" w:eastAsia="Aptos" w:hAnsi="AppleSystemUIFont" w:cs="AppleSystemUIFont"/>
          <w:kern w:val="0"/>
          <w:sz w:val="26"/>
          <w:szCs w:val="26"/>
          <w:lang w:val="fr-CA"/>
        </w:rPr>
      </w:pPr>
    </w:p>
    <w:p w14:paraId="21BEDF41" w14:textId="77777777" w:rsidR="00B44483" w:rsidRPr="00B44483" w:rsidRDefault="00B44483" w:rsidP="00B44483">
      <w:pPr>
        <w:autoSpaceDE w:val="0"/>
        <w:autoSpaceDN w:val="0"/>
        <w:adjustRightInd w:val="0"/>
        <w:spacing w:after="0" w:line="240" w:lineRule="auto"/>
        <w:rPr>
          <w:rFonts w:ascii="AppleSystemUIFont" w:eastAsia="Aptos" w:hAnsi="AppleSystemUIFont" w:cs="AppleSystemUIFont"/>
          <w:kern w:val="0"/>
          <w:sz w:val="26"/>
          <w:szCs w:val="26"/>
          <w:lang w:val="fr-CA"/>
        </w:rPr>
      </w:pPr>
    </w:p>
    <w:p w14:paraId="3287937C" w14:textId="77777777" w:rsidR="00B44483" w:rsidRPr="00B44483" w:rsidRDefault="00B44483" w:rsidP="00B44483">
      <w:pPr>
        <w:rPr>
          <w:rFonts w:ascii="Montserrat" w:eastAsia="Aptos" w:hAnsi="Montserrat" w:cs="Arial"/>
          <w:sz w:val="28"/>
          <w:szCs w:val="28"/>
          <w:lang w:val="fr-CA"/>
        </w:rPr>
      </w:pPr>
      <w:r w:rsidRPr="00B44483">
        <w:rPr>
          <w:rFonts w:ascii="Montserrat" w:eastAsia="Aptos" w:hAnsi="Montserrat" w:cs="Arial"/>
          <w:sz w:val="28"/>
          <w:szCs w:val="28"/>
          <w:lang w:val="fr-CA"/>
        </w:rPr>
        <w:t>Inclusive Design Research Centre </w:t>
      </w:r>
      <w:r w:rsidRPr="00B44483">
        <w:rPr>
          <w:rFonts w:ascii="MS Mincho" w:eastAsia="MS Mincho" w:hAnsi="MS Mincho" w:cs="MS Mincho"/>
          <w:sz w:val="28"/>
          <w:szCs w:val="28"/>
          <w:lang w:val="fr-CA"/>
        </w:rPr>
        <w:br/>
      </w:r>
    </w:p>
    <w:p w14:paraId="1631D1D8" w14:textId="77777777" w:rsidR="00B44483" w:rsidRPr="00B44483" w:rsidRDefault="00B44483" w:rsidP="00B44483">
      <w:pPr>
        <w:rPr>
          <w:rFonts w:ascii="Aptos" w:eastAsia="Aptos" w:hAnsi="Aptos" w:cs="Arial"/>
          <w:b/>
          <w:bCs/>
          <w:lang w:val="fr-CA"/>
        </w:rPr>
      </w:pPr>
      <w:r w:rsidRPr="00B44483">
        <w:rPr>
          <w:rFonts w:ascii="Montserrat" w:eastAsia="Aptos" w:hAnsi="Montserrat" w:cs="Arial"/>
          <w:b/>
          <w:bCs/>
          <w:noProof/>
          <w:sz w:val="28"/>
          <w:szCs w:val="28"/>
          <w:lang w:val="fr-CA"/>
        </w:rPr>
        <mc:AlternateContent>
          <mc:Choice Requires="wps">
            <w:drawing>
              <wp:anchor distT="0" distB="0" distL="114300" distR="114300" simplePos="0" relativeHeight="251659264" behindDoc="0" locked="0" layoutInCell="1" allowOverlap="1" wp14:anchorId="104BFE20" wp14:editId="4E60BD02">
                <wp:simplePos x="0" y="0"/>
                <wp:positionH relativeFrom="column">
                  <wp:posOffset>10110</wp:posOffset>
                </wp:positionH>
                <wp:positionV relativeFrom="paragraph">
                  <wp:posOffset>266651</wp:posOffset>
                </wp:positionV>
                <wp:extent cx="5627077" cy="8792"/>
                <wp:effectExtent l="0" t="0" r="31115" b="29845"/>
                <wp:wrapNone/>
                <wp:docPr id="3907970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27077" cy="8792"/>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A72B98D"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21pt" to="443.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" strokecolor="windowText" strokeweight="1.5pt">
                <v:stroke joinstyle="miter"/>
              </v:line>
            </w:pict>
          </mc:Fallback>
        </mc:AlternateContent>
      </w:r>
      <w:r w:rsidRPr="00B44483">
        <w:rPr>
          <w:rFonts w:ascii="Aptos" w:eastAsia="Aptos" w:hAnsi="Aptos" w:cs="Arial"/>
          <w:b/>
          <w:bCs/>
          <w:lang w:val="fr-CA"/>
        </w:rPr>
        <w:t>31 mars 2026 </w:t>
      </w:r>
    </w:p>
    <w:p w14:paraId="567FF010" w14:textId="4AFF9DD6" w:rsidR="00FA497E" w:rsidRPr="00FA497E" w:rsidRDefault="00FA497E" w:rsidP="00FA497E">
      <w:pPr>
        <w:rPr>
          <w:lang w:val="fr-CA"/>
        </w:rPr>
        <w:sectPr w:rsidR="00FA497E" w:rsidRPr="00FA497E">
          <w:headerReference w:type="default" r:id="rId10"/>
          <w:footerReference w:type="default" r:id="rId11"/>
          <w:pgSz w:w="12240" w:h="15840"/>
          <w:pgMar w:top="1440" w:right="1440" w:bottom="1440" w:left="1440" w:header="708" w:footer="708" w:gutter="0"/>
          <w:cols w:space="708"/>
          <w:docGrid w:linePitch="360"/>
        </w:sectPr>
      </w:pPr>
      <w:r w:rsidRPr="00066694">
        <w:rPr>
          <w:noProof/>
        </w:rPr>
        <w:drawing>
          <wp:inline distT="0" distB="0" distL="0" distR="0" wp14:anchorId="4B5708F6" wp14:editId="64FFA69F">
            <wp:extent cx="1901228" cy="380245"/>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2">
                      <a:extLst>
                        <a:ext uri="{96DAC541-7B7A-43D3-8B79-37D633B846F1}">
                          <asvg:svgBlip xmlns:asvg="http://schemas.microsoft.com/office/drawing/2016/SVG/main" r:embed="rId13"/>
                        </a:ext>
                      </a:extLst>
                    </a:blip>
                    <a:srcRect l="2638" t="10443" r="-37021" b="1734"/>
                    <a:stretch>
                      <a:fillRect/>
                    </a:stretch>
                  </pic:blipFill>
                  <pic:spPr bwMode="auto">
                    <a:xfrm>
                      <a:off x="0" y="0"/>
                      <a:ext cx="1997767" cy="399553"/>
                    </a:xfrm>
                    <a:prstGeom prst="rect">
                      <a:avLst/>
                    </a:prstGeom>
                    <a:ln>
                      <a:noFill/>
                    </a:ln>
                    <a:extLst>
                      <a:ext uri="{53640926-AAD7-44D8-BBD7-CCE9431645EC}">
                        <a14:shadowObscured xmlns:a14="http://schemas.microsoft.com/office/drawing/2010/main"/>
                      </a:ext>
                    </a:extLst>
                  </pic:spPr>
                </pic:pic>
              </a:graphicData>
            </a:graphic>
          </wp:inline>
        </w:drawing>
      </w:r>
    </w:p>
    <w:p w14:paraId="64DF673D" w14:textId="1C1D5166" w:rsidR="00D230CC" w:rsidRPr="00FD1A3B" w:rsidRDefault="00D230CC" w:rsidP="00FD1A3B">
      <w:pPr>
        <w:keepNext/>
        <w:keepLines/>
        <w:pBdr>
          <w:top w:val="single" w:sz="24" w:space="10" w:color="A5C9EB"/>
          <w:left w:val="single" w:sz="24" w:space="30" w:color="A5C9EB"/>
          <w:bottom w:val="single" w:sz="24" w:space="10" w:color="A5C9EB"/>
          <w:right w:val="single" w:sz="24" w:space="20" w:color="A5C9EB"/>
        </w:pBdr>
        <w:spacing w:before="720" w:after="480"/>
        <w:outlineLvl w:val="0"/>
        <w:rPr>
          <w:rFonts w:ascii="Montserrat SemiBold" w:eastAsia="Yu Gothic Light" w:hAnsi="Montserrat SemiBold" w:cs="Times New Roman"/>
          <w:b/>
          <w:bCs/>
          <w:color w:val="0F4761"/>
          <w:sz w:val="40"/>
          <w:szCs w:val="40"/>
          <w:lang w:val="fr-CA"/>
        </w:rPr>
      </w:pPr>
      <w:r w:rsidRPr="00FD1A3B">
        <w:rPr>
          <w:rFonts w:ascii="Montserrat SemiBold" w:eastAsia="Yu Gothic Light" w:hAnsi="Montserrat SemiBold" w:cs="Times New Roman"/>
          <w:b/>
          <w:bCs/>
          <w:color w:val="0F4761"/>
          <w:sz w:val="40"/>
          <w:szCs w:val="40"/>
          <w:lang w:val="fr-CA"/>
        </w:rPr>
        <w:lastRenderedPageBreak/>
        <w:t>Résumé exécutif</w:t>
      </w:r>
    </w:p>
    <w:p w14:paraId="1AC5B59A" w14:textId="77777777" w:rsidR="0089042E" w:rsidRDefault="0089042E" w:rsidP="00A94A78">
      <w:r>
        <w:rPr>
          <w:lang w:val="fr-CA"/>
        </w:rPr>
        <w:t xml:space="preserve">Le projet </w:t>
      </w:r>
      <w:r>
        <w:rPr>
          <w:i/>
          <w:iCs/>
          <w:lang w:val="fr-CA"/>
        </w:rPr>
        <w:t>Réguler le domaine numérique (</w:t>
      </w:r>
      <w:proofErr w:type="spellStart"/>
      <w:r>
        <w:rPr>
          <w:i/>
          <w:iCs/>
          <w:lang w:val="fr-CA"/>
        </w:rPr>
        <w:t>RlDN</w:t>
      </w:r>
      <w:proofErr w:type="spellEnd"/>
      <w:r>
        <w:rPr>
          <w:i/>
          <w:iCs/>
          <w:lang w:val="fr-CA"/>
        </w:rPr>
        <w:t>)</w:t>
      </w:r>
      <w:r>
        <w:rPr>
          <w:lang w:val="fr-CA"/>
        </w:rPr>
        <w:t xml:space="preserve"> a examiné pourquoi de nombreux outils et services numériques demeurent inaccessibles, malgré l’existence de lois, de normes et de lignes directrices. Les participantes et participants nous ont indiqué que les problèmes d’accessibilité persistent parce que l’accessibilité n’est souvent pas intégrée aux systèmes dès le départ.</w:t>
      </w:r>
    </w:p>
    <w:p w14:paraId="7F776246" w14:textId="3F136F60" w:rsidR="0089042E" w:rsidRDefault="0089042E" w:rsidP="004D7B53">
      <w:r>
        <w:rPr>
          <w:lang w:val="fr-CA"/>
        </w:rPr>
        <w:t xml:space="preserve">Afin de mieux comprendre ces problèmes, nous avons travaillé avec des personnes en situation de handicap, des membres de la communauté, des conseillères et conseillers, des conceptrices et concepteurs, ainsi que des développeuses et développeurs. Nous nous sommes rencontrés en ligne, avons partagé des expériences et discuté d’exemples concrets de barrières numériques. L’expérience vécue des participantes et participants a orienté le travail tout au long du projet, et de nombreuses </w:t>
      </w:r>
      <w:proofErr w:type="spellStart"/>
      <w:r>
        <w:rPr>
          <w:lang w:val="fr-CA"/>
        </w:rPr>
        <w:t>cochercheuses</w:t>
      </w:r>
      <w:proofErr w:type="spellEnd"/>
      <w:r>
        <w:rPr>
          <w:lang w:val="fr-CA"/>
        </w:rPr>
        <w:t xml:space="preserve"> et de nombreux </w:t>
      </w:r>
      <w:proofErr w:type="spellStart"/>
      <w:r>
        <w:rPr>
          <w:lang w:val="fr-CA"/>
        </w:rPr>
        <w:t>cochercheurs</w:t>
      </w:r>
      <w:proofErr w:type="spellEnd"/>
      <w:r>
        <w:rPr>
          <w:lang w:val="fr-CA"/>
        </w:rPr>
        <w:t xml:space="preserve"> ont indiqué que c’était la première fois que leur expérience était reconnue comme une expertise précieuse.</w:t>
      </w:r>
    </w:p>
    <w:p w14:paraId="7653AB84" w14:textId="77777777" w:rsidR="0089042E" w:rsidRDefault="0089042E" w:rsidP="00017ABC">
      <w:r>
        <w:rPr>
          <w:lang w:val="fr-CA"/>
        </w:rPr>
        <w:t>À partir de ce travail, nous avons élaboré trois modèles pour aider à rendre les systèmes numériques plus accessibles :</w:t>
      </w:r>
    </w:p>
    <w:p w14:paraId="6762F281" w14:textId="77777777" w:rsidR="0089042E" w:rsidRDefault="0089042E" w:rsidP="0089042E">
      <w:pPr>
        <w:pStyle w:val="ListParagraph"/>
        <w:numPr>
          <w:ilvl w:val="0"/>
          <w:numId w:val="2"/>
        </w:numPr>
      </w:pPr>
      <w:r>
        <w:rPr>
          <w:b/>
          <w:bCs/>
          <w:lang w:val="fr-CA"/>
        </w:rPr>
        <w:t>Modèle de conformité fondé sur les processus</w:t>
      </w:r>
      <w:r>
        <w:br/>
      </w:r>
      <w:r>
        <w:rPr>
          <w:lang w:val="fr-CA"/>
        </w:rPr>
        <w:t>Aide les organisations à intégrer l’accessibilité à leur travail quotidien. Cela comprend la planification en amont, la mise à l’essai régulière, la participation des personnes en situation de handicap et le suivi des progrès dans le temps, plutôt que d’attendre la fin.</w:t>
      </w:r>
    </w:p>
    <w:p w14:paraId="7AE8C5C4" w14:textId="77777777" w:rsidR="0089042E" w:rsidRDefault="0089042E" w:rsidP="0089042E">
      <w:pPr>
        <w:pStyle w:val="ListParagraph"/>
        <w:numPr>
          <w:ilvl w:val="0"/>
          <w:numId w:val="2"/>
        </w:numPr>
      </w:pPr>
      <w:r>
        <w:rPr>
          <w:b/>
          <w:bCs/>
          <w:lang w:val="fr-CA"/>
        </w:rPr>
        <w:t>Cadre d’apprentissage inclusif</w:t>
      </w:r>
      <w:r>
        <w:br/>
      </w:r>
      <w:r>
        <w:rPr>
          <w:lang w:val="fr-CA"/>
        </w:rPr>
        <w:t>Aide les enseignantes et enseignants, les formatrices et formateurs, ainsi que les organisations, à intégrer l’accessibilité dans l’enseignement et l’apprentissage. Il soutient le développement progressif des compétences et contribue à créer une culture où l’inclusion va de soi.</w:t>
      </w:r>
    </w:p>
    <w:p w14:paraId="2C704329" w14:textId="77777777" w:rsidR="0089042E" w:rsidRDefault="0089042E" w:rsidP="0089042E">
      <w:pPr>
        <w:pStyle w:val="ListParagraph"/>
        <w:numPr>
          <w:ilvl w:val="0"/>
          <w:numId w:val="2"/>
        </w:numPr>
      </w:pPr>
      <w:r>
        <w:rPr>
          <w:b/>
          <w:bCs/>
          <w:lang w:val="fr-CA"/>
        </w:rPr>
        <w:t>Cadre d’inclusion numérique</w:t>
      </w:r>
      <w:r>
        <w:br/>
      </w:r>
      <w:r>
        <w:rPr>
          <w:lang w:val="fr-CA"/>
        </w:rPr>
        <w:t xml:space="preserve">Aide les équipes à concevoir de nouvelles technologies, y compris des outils d’IA, de manière sûre, inclusive et accessible. Il veille à ce que les personnes en situation de handicap participent aux décisions, que des personnes demeurent impliquées </w:t>
      </w:r>
      <w:r>
        <w:rPr>
          <w:lang w:val="fr-CA"/>
        </w:rPr>
        <w:lastRenderedPageBreak/>
        <w:t>dans les choix importants et que les outils soient mis à l’essai dans des situations réelles.</w:t>
      </w:r>
    </w:p>
    <w:p w14:paraId="61C20C91" w14:textId="77777777" w:rsidR="0089042E" w:rsidRDefault="0089042E" w:rsidP="000B31D9">
      <w:r>
        <w:rPr>
          <w:lang w:val="fr-CA"/>
        </w:rPr>
        <w:t>Ces trois modèles contribuent à relever les principaux défis cernés au début du projet, notamment l’évolution technologique rapide, la grande diversité des besoins en matière d’accessibilité et la nécessité d’une participation significative. Le cadre d’apprentissage inclusif est particulièrement important, car il aide à répondre aux six défis en renforçant la compréhension et les compétences dans l’ensemble du système.</w:t>
      </w:r>
    </w:p>
    <w:p w14:paraId="506AFAF2" w14:textId="77777777" w:rsidR="0089042E" w:rsidRDefault="0089042E" w:rsidP="0075217F">
      <w:r>
        <w:rPr>
          <w:lang w:val="fr-CA"/>
        </w:rPr>
        <w:t>Ensemble, ces modèles montrent une autre voie possible. Ils mettent l’accent sur les personnes, l’apprentissage, la responsabilité partagée et des systèmes qui peuvent s’améliorer au fil du temps. Ils offrent des outils concrets que les gouvernements, les organisations et les communautés peuvent utiliser pour bâtir un monde numérique plus inclusif.</w:t>
      </w:r>
    </w:p>
    <w:p w14:paraId="47B93B97" w14:textId="6A786450" w:rsidR="0089042E" w:rsidRDefault="0089042E" w:rsidP="004B3A06">
      <w:r>
        <w:rPr>
          <w:lang w:val="fr-CA"/>
        </w:rPr>
        <w:t xml:space="preserve">Les </w:t>
      </w:r>
      <w:proofErr w:type="spellStart"/>
      <w:r>
        <w:rPr>
          <w:lang w:val="fr-CA"/>
        </w:rPr>
        <w:t>cochercheuses</w:t>
      </w:r>
      <w:proofErr w:type="spellEnd"/>
      <w:r>
        <w:rPr>
          <w:lang w:val="fr-CA"/>
        </w:rPr>
        <w:t xml:space="preserve"> et </w:t>
      </w:r>
      <w:proofErr w:type="spellStart"/>
      <w:r>
        <w:rPr>
          <w:lang w:val="fr-CA"/>
        </w:rPr>
        <w:t>cochercheurs</w:t>
      </w:r>
      <w:proofErr w:type="spellEnd"/>
      <w:r>
        <w:rPr>
          <w:lang w:val="fr-CA"/>
        </w:rPr>
        <w:t xml:space="preserve"> ont indiqué qu’il était important que leur expérience vécue soit reconnue comme un savoir précieux. Leurs commentaires ont permis de renforcer les modèles et d’améliorer l’accessibilité des documents. Ils et elles ont également relevé des aspects à approfondir, notamment la mise à l’essai des modèles dans des contextes réels, la formulation de directives plus claires sur leur utilisation et la pleine participation des personnes ayant une expérience vécue à toutes les étapes.</w:t>
      </w:r>
    </w:p>
    <w:p w14:paraId="2D991E4E" w14:textId="5C86FEB3" w:rsidR="00E835A7" w:rsidRDefault="0089042E">
      <w:pPr>
        <w:rPr>
          <w:lang w:val="fr-CA"/>
        </w:rPr>
      </w:pPr>
      <w:r>
        <w:rPr>
          <w:lang w:val="fr-CA"/>
        </w:rPr>
        <w:t xml:space="preserve">Les modèles du projet </w:t>
      </w:r>
      <w:proofErr w:type="spellStart"/>
      <w:r>
        <w:rPr>
          <w:lang w:val="fr-CA"/>
        </w:rPr>
        <w:t>RlDN</w:t>
      </w:r>
      <w:proofErr w:type="spellEnd"/>
      <w:r>
        <w:rPr>
          <w:lang w:val="fr-CA"/>
        </w:rPr>
        <w:t xml:space="preserve"> proposent une nouvelle approche concrète de l’accessibilité numérique. Ils misent sur l’apprentissage continu, de meilleures façons de travailler, une innovation responsable et le leadership des personnes en situation de handicap. Ensemble, ils peuvent contribuer à soutenir des systèmes numériques plus inclusifs et plus accessibles partout au Canada.</w:t>
      </w:r>
    </w:p>
    <w:p w14:paraId="1A8AE5B5" w14:textId="77777777" w:rsidR="009804B3" w:rsidRPr="009804B3" w:rsidRDefault="009804B3" w:rsidP="009804B3">
      <w:pPr>
        <w:keepNext/>
        <w:keepLines/>
        <w:pBdr>
          <w:top w:val="single" w:sz="24" w:space="10" w:color="A5C9EB"/>
          <w:left w:val="single" w:sz="24" w:space="30" w:color="A5C9EB"/>
          <w:bottom w:val="single" w:sz="24" w:space="10" w:color="A5C9EB"/>
          <w:right w:val="single" w:sz="24" w:space="20" w:color="A5C9EB"/>
        </w:pBdr>
        <w:spacing w:before="720" w:after="480"/>
        <w:outlineLvl w:val="0"/>
        <w:rPr>
          <w:rFonts w:ascii="Montserrat SemiBold" w:eastAsia="Yu Gothic Light" w:hAnsi="Montserrat SemiBold" w:cs="Times New Roman"/>
          <w:color w:val="0F4761"/>
          <w:sz w:val="40"/>
          <w:szCs w:val="40"/>
          <w:lang w:val="fr-CA"/>
        </w:rPr>
      </w:pPr>
      <w:bookmarkStart w:id="0" w:name="_Toc228377550"/>
      <w:r w:rsidRPr="009804B3">
        <w:rPr>
          <w:rFonts w:ascii="Montserrat SemiBold" w:eastAsia="Yu Gothic Light" w:hAnsi="Montserrat SemiBold" w:cs="Times New Roman"/>
          <w:b/>
          <w:bCs/>
          <w:color w:val="0F4761"/>
          <w:sz w:val="40"/>
          <w:szCs w:val="40"/>
          <w:lang w:val="fr-CA"/>
        </w:rPr>
        <w:t>Remerciements</w:t>
      </w:r>
      <w:bookmarkEnd w:id="0"/>
    </w:p>
    <w:p w14:paraId="5D9B0C9F" w14:textId="77777777" w:rsidR="009804B3" w:rsidRPr="009804B3" w:rsidRDefault="009804B3" w:rsidP="009804B3">
      <w:pPr>
        <w:rPr>
          <w:rFonts w:ascii="Aptos" w:eastAsia="Aptos" w:hAnsi="Aptos" w:cs="Arial"/>
          <w:b/>
          <w:bCs/>
          <w:lang w:val="fr-CA"/>
        </w:rPr>
      </w:pPr>
      <w:r w:rsidRPr="009804B3">
        <w:rPr>
          <w:rFonts w:ascii="Aptos" w:eastAsia="Aptos" w:hAnsi="Aptos" w:cs="Arial"/>
          <w:b/>
          <w:bCs/>
          <w:lang w:val="fr-CA"/>
        </w:rPr>
        <w:t xml:space="preserve">L’Université OCAD reconnaît les territoires ancestraux et traditionnels des Mississaugas de Credit, des </w:t>
      </w:r>
      <w:proofErr w:type="spellStart"/>
      <w:r w:rsidRPr="009804B3">
        <w:rPr>
          <w:rFonts w:ascii="Aptos" w:eastAsia="Aptos" w:hAnsi="Aptos" w:cs="Arial"/>
          <w:b/>
          <w:bCs/>
          <w:lang w:val="fr-CA"/>
        </w:rPr>
        <w:t>Haudenosaunee</w:t>
      </w:r>
      <w:proofErr w:type="spellEnd"/>
      <w:r w:rsidRPr="009804B3">
        <w:rPr>
          <w:rFonts w:ascii="Aptos" w:eastAsia="Aptos" w:hAnsi="Aptos" w:cs="Arial"/>
          <w:b/>
          <w:bCs/>
          <w:lang w:val="fr-CA"/>
        </w:rPr>
        <w:t xml:space="preserve">, des </w:t>
      </w:r>
      <w:proofErr w:type="spellStart"/>
      <w:r w:rsidRPr="009804B3">
        <w:rPr>
          <w:rFonts w:ascii="Aptos" w:eastAsia="Aptos" w:hAnsi="Aptos" w:cs="Arial"/>
          <w:b/>
          <w:bCs/>
          <w:lang w:val="fr-CA"/>
        </w:rPr>
        <w:t>Anishinaabe</w:t>
      </w:r>
      <w:proofErr w:type="spellEnd"/>
      <w:r w:rsidRPr="009804B3">
        <w:rPr>
          <w:rFonts w:ascii="Aptos" w:eastAsia="Aptos" w:hAnsi="Aptos" w:cs="Arial"/>
          <w:b/>
          <w:bCs/>
          <w:lang w:val="fr-CA"/>
        </w:rPr>
        <w:t xml:space="preserve"> et des Hurons-Wendat, qui sont les propriétaires originaux et les gardiens de la terre sur laquelle nous nous tenons et créons.</w:t>
      </w:r>
    </w:p>
    <w:p w14:paraId="20400EA0" w14:textId="77777777" w:rsidR="009804B3" w:rsidRPr="009804B3" w:rsidRDefault="009804B3" w:rsidP="009804B3">
      <w:pPr>
        <w:rPr>
          <w:rFonts w:ascii="Aptos" w:eastAsia="Aptos" w:hAnsi="Aptos" w:cs="Arial"/>
          <w:lang w:val="fr-CA"/>
        </w:rPr>
      </w:pPr>
    </w:p>
    <w:p w14:paraId="547DC1F4" w14:textId="77777777" w:rsidR="009804B3" w:rsidRPr="009804B3" w:rsidRDefault="009804B3" w:rsidP="009804B3">
      <w:pPr>
        <w:rPr>
          <w:rFonts w:ascii="Aptos" w:eastAsia="Aptos" w:hAnsi="Aptos" w:cs="Arial"/>
          <w:lang w:val="fr-CA"/>
        </w:rPr>
      </w:pPr>
      <w:r w:rsidRPr="009804B3">
        <w:rPr>
          <w:rFonts w:ascii="Aptos" w:eastAsia="Aptos" w:hAnsi="Aptos" w:cs="Arial"/>
          <w:lang w:val="fr-CA"/>
        </w:rPr>
        <w:lastRenderedPageBreak/>
        <w:t>Ce projet a été rendu possible en partie grâce à Normes d’accessibilité Canada/au gouvernement du Canada.</w:t>
      </w:r>
    </w:p>
    <w:p w14:paraId="77867F76" w14:textId="77777777" w:rsidR="009804B3" w:rsidRPr="009804B3" w:rsidRDefault="009804B3" w:rsidP="009804B3">
      <w:pPr>
        <w:jc w:val="center"/>
        <w:rPr>
          <w:rFonts w:ascii="Aptos" w:eastAsia="Aptos" w:hAnsi="Aptos" w:cs="Arial"/>
          <w:lang w:val="fr-CA"/>
        </w:rPr>
      </w:pPr>
      <w:r w:rsidRPr="009804B3">
        <w:rPr>
          <w:rFonts w:ascii="Aptos" w:eastAsia="Aptos" w:hAnsi="Aptos" w:cs="Arial"/>
          <w:noProof/>
          <w:lang w:val="fr-CA"/>
        </w:rPr>
        <w:drawing>
          <wp:inline distT="0" distB="0" distL="0" distR="0" wp14:anchorId="7DD4B931" wp14:editId="35A8D436">
            <wp:extent cx="3657600" cy="369878"/>
            <wp:effectExtent l="0" t="0" r="0" b="0"/>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6577" b="-602"/>
                    <a:stretch>
                      <a:fillRect/>
                    </a:stretch>
                  </pic:blipFill>
                  <pic:spPr bwMode="auto">
                    <a:xfrm>
                      <a:off x="0" y="0"/>
                      <a:ext cx="4011328" cy="405649"/>
                    </a:xfrm>
                    <a:prstGeom prst="rect">
                      <a:avLst/>
                    </a:prstGeom>
                    <a:noFill/>
                    <a:ln>
                      <a:noFill/>
                    </a:ln>
                    <a:extLst>
                      <a:ext uri="{53640926-AAD7-44D8-BBD7-CCE9431645EC}">
                        <a14:shadowObscured xmlns:a14="http://schemas.microsoft.com/office/drawing/2010/main"/>
                      </a:ext>
                    </a:extLst>
                  </pic:spPr>
                </pic:pic>
              </a:graphicData>
            </a:graphic>
          </wp:inline>
        </w:drawing>
      </w:r>
    </w:p>
    <w:p w14:paraId="46B0C239" w14:textId="77777777" w:rsidR="009804B3" w:rsidRDefault="009804B3"/>
    <w:sectPr w:rsidR="009804B3">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54CF" w14:textId="77777777" w:rsidR="004C52AB" w:rsidRDefault="004C52AB" w:rsidP="001C07D0">
      <w:pPr>
        <w:spacing w:after="0" w:line="240" w:lineRule="auto"/>
      </w:pPr>
      <w:r>
        <w:separator/>
      </w:r>
    </w:p>
  </w:endnote>
  <w:endnote w:type="continuationSeparator" w:id="0">
    <w:p w14:paraId="173AA27D" w14:textId="77777777" w:rsidR="004C52AB" w:rsidRDefault="004C52AB" w:rsidP="001C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4392" w14:textId="5C8E8024" w:rsidR="00350E14" w:rsidRDefault="00350E14">
    <w:pPr>
      <w:pStyle w:val="Footer"/>
      <w:jc w:val="right"/>
    </w:pPr>
  </w:p>
  <w:p w14:paraId="4747C01C" w14:textId="77777777" w:rsidR="00350E14" w:rsidRDefault="00350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32146"/>
      <w:docPartObj>
        <w:docPartGallery w:val="Page Numbers (Bottom of Page)"/>
        <w:docPartUnique/>
      </w:docPartObj>
    </w:sdtPr>
    <w:sdtEndPr>
      <w:rPr>
        <w:noProof/>
      </w:rPr>
    </w:sdtEndPr>
    <w:sdtContent>
      <w:p w14:paraId="6459EA5A" w14:textId="77777777" w:rsidR="00350E14" w:rsidRDefault="00350E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07588" w14:textId="77777777" w:rsidR="00350E14" w:rsidRDefault="00350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84D5" w14:textId="77777777" w:rsidR="004C52AB" w:rsidRDefault="004C52AB" w:rsidP="001C07D0">
      <w:pPr>
        <w:spacing w:after="0" w:line="240" w:lineRule="auto"/>
      </w:pPr>
      <w:r>
        <w:separator/>
      </w:r>
    </w:p>
  </w:footnote>
  <w:footnote w:type="continuationSeparator" w:id="0">
    <w:p w14:paraId="4B795856" w14:textId="77777777" w:rsidR="004C52AB" w:rsidRDefault="004C52AB" w:rsidP="001C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DE8F" w14:textId="1BB1DAE8" w:rsidR="001C07D0" w:rsidRDefault="001C07D0">
    <w:pPr>
      <w:pStyle w:val="Header"/>
    </w:pPr>
    <w:r w:rsidRPr="00445860">
      <w:rPr>
        <w:noProof/>
      </w:rPr>
      <w:drawing>
        <wp:inline distT="0" distB="0" distL="0" distR="0" wp14:anchorId="1127BBD1" wp14:editId="3C5D09FB">
          <wp:extent cx="1276539" cy="1459672"/>
          <wp:effectExtent l="0" t="0" r="0" b="1270"/>
          <wp:docPr id="20959098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0985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305336" cy="1492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C21F" w14:textId="35346238" w:rsidR="001C07D0" w:rsidRDefault="003D27A8" w:rsidP="00956ECB">
    <w:pPr>
      <w:pStyle w:val="Header"/>
      <w:tabs>
        <w:tab w:val="clear" w:pos="9360"/>
      </w:tabs>
      <w:jc w:val="center"/>
    </w:pPr>
    <w:r w:rsidRPr="00FD1A3B">
      <w:rPr>
        <w:lang w:val="fr-CA"/>
      </w:rPr>
      <w:t xml:space="preserve">Réguler le domaine </w:t>
    </w:r>
    <w:proofErr w:type="gramStart"/>
    <w:r w:rsidRPr="00FD1A3B">
      <w:rPr>
        <w:lang w:val="fr-CA"/>
      </w:rPr>
      <w:t>numérique</w:t>
    </w:r>
    <w:r w:rsidRPr="00FD1A3B">
      <w:rPr>
        <w:rFonts w:ascii="Montserrat" w:hAnsi="Montserrat"/>
        <w:sz w:val="21"/>
        <w:szCs w:val="21"/>
        <w:lang w:val="fr-CA"/>
      </w:rPr>
      <w:t xml:space="preserve">  /</w:t>
    </w:r>
    <w:proofErr w:type="gramEnd"/>
    <w:r w:rsidRPr="00FD1A3B">
      <w:rPr>
        <w:rFonts w:ascii="Montserrat" w:hAnsi="Montserrat"/>
        <w:sz w:val="21"/>
        <w:szCs w:val="21"/>
        <w:lang w:val="fr-CA"/>
      </w:rPr>
      <w:t xml:space="preserve">  </w:t>
    </w:r>
    <w:proofErr w:type="gramStart"/>
    <w:r w:rsidRPr="00FD1A3B">
      <w:rPr>
        <w:rFonts w:ascii="Montserrat" w:hAnsi="Montserrat"/>
        <w:sz w:val="21"/>
        <w:szCs w:val="21"/>
        <w:lang w:val="fr-CA"/>
      </w:rPr>
      <w:t>IDRC  /</w:t>
    </w:r>
    <w:proofErr w:type="gramEnd"/>
    <w:r w:rsidRPr="00FD1A3B">
      <w:rPr>
        <w:rFonts w:ascii="Montserrat" w:hAnsi="Montserrat"/>
        <w:sz w:val="21"/>
        <w:szCs w:val="21"/>
        <w:lang w:val="fr-CA"/>
      </w:rPr>
      <w:t xml:space="preserve">  </w:t>
    </w:r>
    <w:r w:rsidRPr="00FD1A3B">
      <w:rPr>
        <w:lang w:val="fr-CA"/>
      </w:rPr>
      <w:t>Rapport final de recherche</w:t>
    </w:r>
    <w:r w:rsidR="005431A6" w:rsidRPr="00FD1A3B">
      <w:rPr>
        <w:lang w:val="fr-CA"/>
      </w:rPr>
      <w:t xml:space="preserve"> Résumé exécutif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315"/>
    <w:multiLevelType w:val="multilevel"/>
    <w:tmpl w:val="70C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D7DFA"/>
    <w:multiLevelType w:val="hybridMultilevel"/>
    <w:tmpl w:val="FE22F4E4"/>
    <w:lvl w:ilvl="0" w:tplc="B54826AC">
      <w:numFmt w:val="bullet"/>
      <w:lvlText w:val="•"/>
      <w:lvlJc w:val="left"/>
      <w:pPr>
        <w:ind w:left="720" w:hanging="360"/>
      </w:pPr>
      <w:rPr>
        <w:rFonts w:ascii="Aptos" w:eastAsiaTheme="minorHAnsi" w:hAnsi="Aptos" w:cstheme="minorBid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653955"/>
    <w:multiLevelType w:val="multilevel"/>
    <w:tmpl w:val="68F0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865D0"/>
    <w:multiLevelType w:val="multilevel"/>
    <w:tmpl w:val="5FEC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F1F4F"/>
    <w:multiLevelType w:val="multilevel"/>
    <w:tmpl w:val="8CD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613981">
    <w:abstractNumId w:val="3"/>
  </w:num>
  <w:num w:numId="2" w16cid:durableId="187717461">
    <w:abstractNumId w:val="1"/>
  </w:num>
  <w:num w:numId="3" w16cid:durableId="1583636971">
    <w:abstractNumId w:val="0"/>
  </w:num>
  <w:num w:numId="4" w16cid:durableId="1899167774">
    <w:abstractNumId w:val="4"/>
  </w:num>
  <w:num w:numId="5" w16cid:durableId="150994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CC"/>
    <w:rsid w:val="000B4265"/>
    <w:rsid w:val="001C07D0"/>
    <w:rsid w:val="001C59B0"/>
    <w:rsid w:val="00350E14"/>
    <w:rsid w:val="003D27A8"/>
    <w:rsid w:val="003D5A52"/>
    <w:rsid w:val="004C52AB"/>
    <w:rsid w:val="005431A6"/>
    <w:rsid w:val="0089042E"/>
    <w:rsid w:val="00956ECB"/>
    <w:rsid w:val="009804B3"/>
    <w:rsid w:val="00B44483"/>
    <w:rsid w:val="00D230CC"/>
    <w:rsid w:val="00D96837"/>
    <w:rsid w:val="00E040C3"/>
    <w:rsid w:val="00E105E6"/>
    <w:rsid w:val="00E835A7"/>
    <w:rsid w:val="00FA497E"/>
    <w:rsid w:val="00FD1A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D25B"/>
  <w15:chartTrackingRefBased/>
  <w15:docId w15:val="{68D3165F-F287-423A-B520-950A14AF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CC"/>
  </w:style>
  <w:style w:type="paragraph" w:styleId="Heading1">
    <w:name w:val="heading 1"/>
    <w:basedOn w:val="Normal"/>
    <w:next w:val="Normal"/>
    <w:link w:val="Heading1Char"/>
    <w:uiPriority w:val="9"/>
    <w:qFormat/>
    <w:rsid w:val="00D23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3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23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0CC"/>
    <w:rPr>
      <w:rFonts w:eastAsiaTheme="majorEastAsia" w:cstheme="majorBidi"/>
      <w:color w:val="272727" w:themeColor="text1" w:themeTint="D8"/>
    </w:rPr>
  </w:style>
  <w:style w:type="paragraph" w:styleId="Title">
    <w:name w:val="Title"/>
    <w:basedOn w:val="Normal"/>
    <w:next w:val="Normal"/>
    <w:link w:val="TitleChar"/>
    <w:uiPriority w:val="10"/>
    <w:qFormat/>
    <w:rsid w:val="00D23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0CC"/>
    <w:pPr>
      <w:spacing w:before="160"/>
      <w:jc w:val="center"/>
    </w:pPr>
    <w:rPr>
      <w:i/>
      <w:iCs/>
      <w:color w:val="404040" w:themeColor="text1" w:themeTint="BF"/>
    </w:rPr>
  </w:style>
  <w:style w:type="character" w:customStyle="1" w:styleId="QuoteChar">
    <w:name w:val="Quote Char"/>
    <w:basedOn w:val="DefaultParagraphFont"/>
    <w:link w:val="Quote"/>
    <w:uiPriority w:val="29"/>
    <w:rsid w:val="00D230CC"/>
    <w:rPr>
      <w:i/>
      <w:iCs/>
      <w:color w:val="404040" w:themeColor="text1" w:themeTint="BF"/>
    </w:rPr>
  </w:style>
  <w:style w:type="paragraph" w:styleId="ListParagraph">
    <w:name w:val="List Paragraph"/>
    <w:basedOn w:val="Normal"/>
    <w:uiPriority w:val="34"/>
    <w:qFormat/>
    <w:rsid w:val="00D230CC"/>
    <w:pPr>
      <w:ind w:left="720"/>
      <w:contextualSpacing/>
    </w:pPr>
  </w:style>
  <w:style w:type="character" w:styleId="IntenseEmphasis">
    <w:name w:val="Intense Emphasis"/>
    <w:basedOn w:val="DefaultParagraphFont"/>
    <w:uiPriority w:val="21"/>
    <w:qFormat/>
    <w:rsid w:val="00D230CC"/>
    <w:rPr>
      <w:i/>
      <w:iCs/>
      <w:color w:val="0F4761" w:themeColor="accent1" w:themeShade="BF"/>
    </w:rPr>
  </w:style>
  <w:style w:type="paragraph" w:styleId="IntenseQuote">
    <w:name w:val="Intense Quote"/>
    <w:basedOn w:val="Normal"/>
    <w:next w:val="Normal"/>
    <w:link w:val="IntenseQuoteChar"/>
    <w:uiPriority w:val="30"/>
    <w:qFormat/>
    <w:rsid w:val="00D23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0CC"/>
    <w:rPr>
      <w:i/>
      <w:iCs/>
      <w:color w:val="0F4761" w:themeColor="accent1" w:themeShade="BF"/>
    </w:rPr>
  </w:style>
  <w:style w:type="character" w:styleId="IntenseReference">
    <w:name w:val="Intense Reference"/>
    <w:basedOn w:val="DefaultParagraphFont"/>
    <w:uiPriority w:val="32"/>
    <w:qFormat/>
    <w:rsid w:val="00D230CC"/>
    <w:rPr>
      <w:b/>
      <w:bCs/>
      <w:smallCaps/>
      <w:color w:val="0F4761" w:themeColor="accent1" w:themeShade="BF"/>
      <w:spacing w:val="5"/>
    </w:rPr>
  </w:style>
  <w:style w:type="paragraph" w:styleId="Header">
    <w:name w:val="header"/>
    <w:basedOn w:val="Normal"/>
    <w:link w:val="HeaderChar"/>
    <w:uiPriority w:val="99"/>
    <w:unhideWhenUsed/>
    <w:rsid w:val="001C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7D0"/>
  </w:style>
  <w:style w:type="paragraph" w:styleId="Footer">
    <w:name w:val="footer"/>
    <w:basedOn w:val="Normal"/>
    <w:link w:val="FooterChar"/>
    <w:uiPriority w:val="99"/>
    <w:unhideWhenUsed/>
    <w:rsid w:val="001C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8c1f9f85e06380f05c5226c4306b07ef">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58c17b9ecd234a22846a2beda03ae92f"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Props1.xml><?xml version="1.0" encoding="utf-8"?>
<ds:datastoreItem xmlns:ds="http://schemas.openxmlformats.org/officeDocument/2006/customXml" ds:itemID="{196AC0A3-07A4-48B1-AA6D-8F356A6FE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368C3-1E76-445F-A205-C3F6CB9F4C4D}">
  <ds:schemaRefs>
    <ds:schemaRef ds:uri="http://schemas.microsoft.com/sharepoint/v3/contenttype/forms"/>
  </ds:schemaRefs>
</ds:datastoreItem>
</file>

<file path=customXml/itemProps3.xml><?xml version="1.0" encoding="utf-8"?>
<ds:datastoreItem xmlns:ds="http://schemas.openxmlformats.org/officeDocument/2006/customXml" ds:itemID="{847C63F6-052A-4AB5-A868-021A2752A5A2}">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629</Words>
  <Characters>3786</Characters>
  <Application>Microsoft Office Word</Application>
  <DocSecurity>0</DocSecurity>
  <Lines>72</Lines>
  <Paragraphs>28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Vera Roberts</cp:lastModifiedBy>
  <cp:revision>13</cp:revision>
  <dcterms:created xsi:type="dcterms:W3CDTF">2026-03-31T22:16:00Z</dcterms:created>
  <dcterms:modified xsi:type="dcterms:W3CDTF">2026-06-02T20:29:00Z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0x010100C20C8D150997A1428DF79E449A3BEEA5</vt:lpwstr>
  </property>
  <property fmtid="{D5CDD505-2E9C-101B-9397-08002B2CF9AE}" pid="3" name="MediaServiceImageTags">
    <vt:lpwstr/>
  </property>
</Properties>
</file>